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keepNext w:val="1"/>
        <w:keepLines w:val="1"/>
        <w:pageBreakBefore w:val="0"/>
        <w:widowControl w:val="0"/>
        <w:pBdr>
          <w:top w:space="0" w:sz="0" w:val="nil"/>
          <w:left w:space="0" w:sz="0" w:val="nil"/>
          <w:bottom w:space="0" w:sz="0" w:val="nil"/>
          <w:right w:space="0" w:sz="0" w:val="nil"/>
          <w:between w:space="0" w:sz="0" w:val="nil"/>
        </w:pBdr>
        <w:shd w:fill="auto" w:val="clear"/>
        <w:spacing w:after="275"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 of the subject of the contract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the description of the subject of the contract and the estimated value of the contract: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subject of the contract is the realisation of two expositions of SLOVAKIA TRAVEL (hereinafter referred to as ST or the contracting authority) at the international tourism fairs IMTM 2023 in Tel Aviv, Israel and ITB 2023 in Berlin, Germany.</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successful tenderer shall organise and implement ST's participation in these fairs exclusively according to the requirements specified by the contracting authority. In addition to the different venues, these fairs differ in the range of services required and also in the number of co-exhibitors - business entities and organisations operating in the field of tourism (hereafter referred to as SV).</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contracting authority shall provide the successful tenderer with assistance in arranging and paying for the rental of the exhibition space and the payment of registration fees for co-exhibitors, which are the sole responsibility of the contracting authority.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06.99999999999994" w:lineRule="auto"/>
        <w:ind w:left="108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Realisation of the national exposition of Slovakia during the IMTM 2023 in Tel Aviv, Israel from 14.02.2023 to 15.02.2023</w:t>
      </w:r>
    </w:p>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Description of the exposition</w:t>
      </w:r>
    </w:p>
    <w:p w:rsidR="00000000" w:rsidDel="00000000" w:rsidP="00000000" w:rsidRDefault="00000000" w:rsidRPr="00000000" w14:paraId="0000000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exposition is designed on an area of </w:t>
      </w:r>
      <w:r w:rsidDel="00000000" w:rsidR="00000000" w:rsidRPr="00000000">
        <w:rPr>
          <w:rFonts w:ascii="Times New Roman" w:cs="Times New Roman" w:eastAsia="Times New Roman" w:hAnsi="Times New Roman"/>
          <w:b w:val="1"/>
          <w:color w:val="000000"/>
          <w:rtl w:val="0"/>
        </w:rPr>
        <w:t xml:space="preserve">126 m</w:t>
      </w:r>
      <w:r w:rsidDel="00000000" w:rsidR="00000000" w:rsidRPr="00000000">
        <w:rPr>
          <w:rFonts w:ascii="Times New Roman" w:cs="Times New Roman" w:eastAsia="Times New Roman" w:hAnsi="Times New Roman"/>
          <w:b w:val="1"/>
          <w:color w:val="000000"/>
          <w:vertAlign w:val="superscript"/>
          <w:rtl w:val="0"/>
        </w:rPr>
        <w:t xml:space="preserve">2 </w:t>
      </w:r>
      <w:r w:rsidDel="00000000" w:rsidR="00000000" w:rsidRPr="00000000">
        <w:rPr>
          <w:rFonts w:ascii="Times New Roman" w:cs="Times New Roman" w:eastAsia="Times New Roman" w:hAnsi="Times New Roman"/>
          <w:b w:val="1"/>
          <w:color w:val="000000"/>
          <w:rtl w:val="0"/>
        </w:rPr>
        <w:t xml:space="preserve">in a 14 x 9 m configuration</w:t>
      </w:r>
      <w:r w:rsidDel="00000000" w:rsidR="00000000" w:rsidRPr="00000000">
        <w:rPr>
          <w:rFonts w:ascii="Times New Roman" w:cs="Times New Roman" w:eastAsia="Times New Roman" w:hAnsi="Times New Roman"/>
          <w:rtl w:val="0"/>
        </w:rPr>
        <w:t xml:space="preserve"> open on three sides. The ordered area is a peninsula. The proposed exposition has a modern design and clean lines in order to meet all the requirements for the efficient use of space and overall design. </w:t>
      </w:r>
    </w:p>
    <w:p w:rsidR="00000000" w:rsidDel="00000000" w:rsidP="00000000" w:rsidRDefault="00000000" w:rsidRPr="00000000" w14:paraId="0000000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raised floor, under which the electrical wiring to the individual counters and outlets is routed, is covered with a floating floor in imitation wood, edged with L-shaped aluminium strips.    </w:t>
      </w:r>
    </w:p>
    <w:p w:rsidR="00000000" w:rsidDel="00000000" w:rsidP="00000000" w:rsidRDefault="00000000" w:rsidRPr="00000000" w14:paraId="0000000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basic structure of the exposition consists of the Octanorm modular system, which is used for the background and rear walls of the exposition.</w:t>
      </w:r>
      <w:r w:rsidDel="00000000" w:rsidR="00000000" w:rsidRPr="00000000">
        <w:rPr>
          <w:rFonts w:ascii="Times New Roman" w:cs="Times New Roman" w:eastAsia="Times New Roman" w:hAnsi="Times New Roman"/>
          <w:b w:val="1"/>
          <w:highlight w:val="yellow"/>
          <w:rtl w:val="0"/>
        </w:rPr>
        <w:t xml:space="preserve"> The background of 24 m</w:t>
      </w:r>
      <w:r w:rsidDel="00000000" w:rsidR="00000000" w:rsidRPr="00000000">
        <w:rPr>
          <w:rFonts w:ascii="Times New Roman" w:cs="Times New Roman" w:eastAsia="Times New Roman" w:hAnsi="Times New Roman"/>
          <w:b w:val="1"/>
          <w:highlight w:val="yellow"/>
          <w:vertAlign w:val="superscript"/>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ff0000"/>
          <w:rtl w:val="0"/>
        </w:rPr>
        <w:t xml:space="preserve">(maximum 20m2 )</w:t>
      </w:r>
      <w:r w:rsidDel="00000000" w:rsidR="00000000" w:rsidRPr="00000000">
        <w:rPr>
          <w:rFonts w:ascii="Times New Roman" w:cs="Times New Roman" w:eastAsia="Times New Roman" w:hAnsi="Times New Roman"/>
          <w:rtl w:val="0"/>
        </w:rPr>
        <w:t xml:space="preserve"> consists of a lockable kitchenette and a storage room. The kitchenette is equipped with three-tier shelving, two-tier handy counter, equipment (fridge with freezer, dishwasher, coffee maker, kettle, sink) and complete small equipment (inventory). </w:t>
      </w:r>
    </w:p>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storage room is equipped with three-tier shelving, wall mounted clothing rails, lockable lockers for storing personal belongings (10 pcs) and a mirror. The side walls of the background are lined with laminated DTD white and the front wall is covered with illuminated full-colour X-frame </w:t>
      </w:r>
      <w:r w:rsidDel="00000000" w:rsidR="00000000" w:rsidRPr="00000000">
        <w:rPr>
          <w:rFonts w:ascii="Times New Roman" w:cs="Times New Roman" w:eastAsia="Times New Roman" w:hAnsi="Times New Roman"/>
          <w:b w:val="1"/>
          <w:rtl w:val="0"/>
        </w:rPr>
        <w:t xml:space="preserve">4 x 5 m</w:t>
      </w:r>
      <w:r w:rsidDel="00000000" w:rsidR="00000000" w:rsidRPr="00000000">
        <w:rPr>
          <w:rFonts w:ascii="Times New Roman" w:cs="Times New Roman" w:eastAsia="Times New Roman" w:hAnsi="Times New Roman"/>
          <w:rtl w:val="0"/>
        </w:rPr>
        <w:t xml:space="preserve"> fabric. </w:t>
      </w:r>
    </w:p>
    <w:p w:rsidR="00000000" w:rsidDel="00000000" w:rsidP="00000000" w:rsidRDefault="00000000" w:rsidRPr="00000000" w14:paraId="0000001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doors in the background and the kitchenette are equipped with a door closer (self-closing), each door comes with 2 sets of keys. </w:t>
      </w:r>
    </w:p>
    <w:p w:rsidR="00000000" w:rsidDel="00000000" w:rsidP="00000000" w:rsidRDefault="00000000" w:rsidRPr="00000000" w14:paraId="0000001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walls to the sides of the background are designed as a combination of LED backlit full-colour fabric X-frame light </w:t>
      </w:r>
      <w:r w:rsidDel="00000000" w:rsidR="00000000" w:rsidRPr="00000000">
        <w:rPr>
          <w:rFonts w:ascii="Times New Roman" w:cs="Times New Roman" w:eastAsia="Times New Roman" w:hAnsi="Times New Roman"/>
          <w:b w:val="1"/>
          <w:rtl w:val="0"/>
        </w:rPr>
        <w:t xml:space="preserve">4 x 2.2 m</w:t>
      </w:r>
      <w:r w:rsidDel="00000000" w:rsidR="00000000" w:rsidRPr="00000000">
        <w:rPr>
          <w:rFonts w:ascii="Times New Roman" w:cs="Times New Roman" w:eastAsia="Times New Roman" w:hAnsi="Times New Roman"/>
          <w:rtl w:val="0"/>
        </w:rPr>
        <w:t xml:space="preserve"> and slats of DTD laminate imitation woodgrain. The exposition is architecturally completed with slats made of DTD laminate imitation woodgrain protruding from the background, which also serve for the placement of two 32" touchscreen monitors. </w:t>
      </w:r>
    </w:p>
    <w:p w:rsidR="00000000" w:rsidDel="00000000" w:rsidP="00000000" w:rsidRDefault="00000000" w:rsidRPr="00000000" w14:paraId="00000012">
      <w:pPr>
        <w:spacing w:line="276" w:lineRule="auto"/>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The exterior of the exposition is divided into a meeting area, VIP area, information and presentation area. The meeting area for the B2B workshop with 10 meeting tables and four chairs at each table is located behind the information counters in front of the background area. The VIP meeting area alongside the background area with 4 leatherette chairs is separated from the communication by a floral wall so as to achieve an undisturbed negotiation, but at the same time to achieve visual contact with the customer. The presentation area is situated on the other side of the background area and is equipped with 2 stand-by tables with chairs, two 65" LCD TVs and a sound system consisting of 2 microphones and two speakers on stands.  </w:t>
      </w:r>
    </w:p>
    <w:p w:rsidR="00000000" w:rsidDel="00000000" w:rsidP="00000000" w:rsidRDefault="00000000" w:rsidRPr="00000000" w14:paraId="0000001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maximum effect of contact with the customer is achieved</w:t>
      </w:r>
      <w:r w:rsidDel="00000000" w:rsidR="00000000" w:rsidRPr="00000000">
        <w:rPr>
          <w:rFonts w:ascii="Times New Roman" w:cs="Times New Roman" w:eastAsia="Times New Roman" w:hAnsi="Times New Roman"/>
          <w:rtl w:val="0"/>
        </w:rPr>
        <w:t xml:space="preserve"> by</w:t>
      </w:r>
      <w:r w:rsidDel="00000000" w:rsidR="00000000" w:rsidRPr="00000000">
        <w:rPr>
          <w:rFonts w:ascii="Times New Roman" w:cs="Times New Roman" w:eastAsia="Times New Roman" w:hAnsi="Times New Roman"/>
          <w:color w:val="ff0000"/>
          <w:rtl w:val="0"/>
        </w:rPr>
        <w:t xml:space="preserve"> 14</w:t>
      </w:r>
      <w:r w:rsidDel="00000000" w:rsidR="00000000" w:rsidRPr="00000000">
        <w:rPr>
          <w:rFonts w:ascii="Times New Roman" w:cs="Times New Roman" w:eastAsia="Times New Roman" w:hAnsi="Times New Roman"/>
          <w:rtl w:val="0"/>
        </w:rPr>
        <w:t xml:space="preserve"> lockable information counters </w:t>
      </w:r>
      <w:r w:rsidDel="00000000" w:rsidR="00000000" w:rsidRPr="00000000">
        <w:rPr>
          <w:rFonts w:ascii="Times New Roman" w:cs="Times New Roman" w:eastAsia="Times New Roman" w:hAnsi="Times New Roman"/>
          <w:b w:val="1"/>
          <w:color w:val="ff0000"/>
          <w:rtl w:val="0"/>
        </w:rPr>
        <w:t xml:space="preserve">( 10 is enough )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made of white laminated DTD finished with slats with a repeating element of slats, which are placed around the perimeter of the exposition. (Graphics of the counters: name/logo, website, QR code.) </w:t>
      </w:r>
    </w:p>
    <w:p w:rsidR="00000000" w:rsidDel="00000000" w:rsidP="00000000" w:rsidRDefault="00000000" w:rsidRPr="00000000" w14:paraId="0000001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table for the presentation and tasting of wines and another table for the presentation of Slovak gastronomy should be placed in the exhibition area. </w:t>
      </w:r>
    </w:p>
    <w:p w:rsidR="00000000" w:rsidDel="00000000" w:rsidP="00000000" w:rsidRDefault="00000000" w:rsidRPr="00000000" w14:paraId="0000001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the price calculation as the item "information counter lockable" 14 pcs  </w:t>
      </w:r>
      <w:r w:rsidDel="00000000" w:rsidR="00000000" w:rsidRPr="00000000">
        <w:rPr>
          <w:rFonts w:ascii="Times New Roman" w:cs="Times New Roman" w:eastAsia="Times New Roman" w:hAnsi="Times New Roman"/>
          <w:b w:val="1"/>
          <w:color w:val="ff0000"/>
          <w:highlight w:val="white"/>
          <w:rtl w:val="0"/>
        </w:rPr>
        <w:t xml:space="preserve">( 10 pieces will be enough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total and 1 table for presentation and wine tasting and 1 table for presentation of Slovak gastronomy.) </w:t>
      </w:r>
    </w:p>
    <w:p w:rsidR="00000000" w:rsidDel="00000000" w:rsidP="00000000" w:rsidRDefault="00000000" w:rsidRPr="00000000" w14:paraId="0000001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attract the attention of visitors from afar, a backlit square banner covered with fabric with the word SLOVAKIA on all four sides of the banner has been designed. The banner is mounted on a truss structure suspended from the ceiling of the pavilion. The size of the banner is 4 x 4 metres.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contracting authority requires the provider to provide services of professional quality and at least to the extent specified in this description of the subject of the contract:</w:t>
      </w:r>
    </w:p>
    <w:bookmarkStart w:colFirst="0" w:colLast="0" w:name="bookmark=id.1fob9te" w:id="2"/>
    <w:bookmarkEnd w:id="2"/>
    <w:p w:rsidR="00000000" w:rsidDel="00000000" w:rsidP="00000000" w:rsidRDefault="00000000" w:rsidRPr="00000000" w14:paraId="00000019">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Exposition</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736"/>
        </w:tabs>
        <w:spacing w:after="0" w:before="0" w:line="306.99999999999994" w:lineRule="auto"/>
        <w:ind w:left="7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ensuring the exposition and technical implementation of the exposition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required by the contracting authority in accordance with the architectural design, which forms an integral annex to this description of the subject of the contract. The implementation of the exposition must be provided by the provider with regard to the needs and specification of the requirements of the contracting authority.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provider will ensure the adaptation of the design, rental and construction (assembly) of the exposition, dismantling of the exhibition after the exhibition, transport and storage. The detailed description of the individual elements of the exhibition and the visualisations of the architectural designs form integral annexes to this description of the subject of the contract and are intended to adapt the architectural design to a specific area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126 m2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elaboration of the design adaptation, technical documentation and the implementation of the exposition must take into account the required quality for the competitive presentation and promotion of Slovakia at this exhibition.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74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74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provider's technical solution must take into account the following requirements:</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29"/>
        </w:tabs>
        <w:spacing w:after="0" w:before="0" w:line="306.99999999999994" w:lineRule="auto"/>
        <w:ind w:left="7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placement of an illuminated square banner covered with fabric with the word SLOVAKIA on all four sides of the banner to attract the attention of visitors from a distance, suspended from the ceiling in accordance with the architectural design, or, in justified cases (in accordance with the conditions of the exhibition organiser and the technical parameters of the hall) by possible adaptations on the basis of consultations with the contracting authority. In this case, a version other than the architectural design shall be subject to the approval of the contracting authority</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29"/>
        </w:tabs>
        <w:spacing w:after="0" w:before="0" w:line="306.99999999999994" w:lineRule="auto"/>
        <w:ind w:left="7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animation of the exposition in the form of backlit large-scale photographs, including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purchase of photographs according to the requirements of the contracting authority</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29"/>
        </w:tabs>
        <w:spacing w:after="0" w:before="0" w:line="306.99999999999994" w:lineRule="auto"/>
        <w:ind w:left="7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variable exposition lighting</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29"/>
        </w:tabs>
        <w:spacing w:after="0" w:before="0" w:line="306.99999999999994" w:lineRule="auto"/>
        <w:ind w:left="7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sound system of the exposition according to the needs of the contracting authority in the variant:</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071"/>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press conference/destination presentation/start of B2B workshop = professional sound system with 2 microphones, covering the whole area of the exposition (minimum 2 speakers) and at the same time</w:t>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071"/>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background music = sounding of the exposition with accompanying music without the need for a microphone (arrangements of contemporary Slovak pop hits, classical Slovak pop music and the most famous Slovak folk songs rearranged into modern music genres) or</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071"/>
        </w:tabs>
        <w:spacing w:after="0" w:before="0" w:line="306.99999999999994" w:lineRule="auto"/>
        <w:ind w:left="7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their combination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71"/>
        </w:tabs>
        <w:spacing w:after="0" w:before="0" w:line="306.99999999999994" w:lineRule="auto"/>
        <w:ind w:left="7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29"/>
        </w:tabs>
        <w:spacing w:after="0" w:before="0" w:line="306.99999999999994" w:lineRule="auto"/>
        <w:ind w:left="7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provider is fully responsible for compliance with the applicable technical standards throughout the exposition.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38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38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graphic design of the provider's architectural design must take into account the following requirements:</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29"/>
        </w:tabs>
        <w:spacing w:after="0" w:before="0" w:line="306.99999999999994" w:lineRule="auto"/>
        <w:ind w:left="740" w:right="0" w:hanging="360"/>
        <w:jc w:val="both"/>
        <w:rPr>
          <w:rFonts w:ascii="Times New Roman" w:cs="Times New Roman" w:eastAsia="Times New Roman" w:hAnsi="Times New Roman"/>
          <w:b w:val="0"/>
          <w:i w:val="0"/>
          <w:smallCaps w:val="0"/>
          <w:strike w:val="0"/>
          <w:color w:val="38562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distinctive advertising signage with the SLOVAKIA TRAVEL logo in accordance with the architectural designs or possible adaptations based on consultations with the contracting authority. The logos will be displayed on both side walls of the background in a "photo wall" format.</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29"/>
        </w:tabs>
        <w:spacing w:after="0" w:before="0" w:line="306.99999999999994" w:lineRule="auto"/>
        <w:ind w:left="7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graphic work for the exposition must include complete internal and external branding of the exposition with visuals, high-resolution photos for large-scale printing of logos, web pages, etc., branding of the exposition from multiple sides, branding of information counters, stands for promotional materials, etc. in accordance with the architectural design, or possible adaptations based on consultations with the contracting authority</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34"/>
        </w:tabs>
        <w:spacing w:after="0" w:before="0" w:line="276" w:lineRule="auto"/>
        <w:ind w:left="380" w:right="0" w:hanging="3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ensuring the exposition and the technical implementation of the exposition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provider shall submit a proposal for the design of the exposition to the contracting authority at least 20 working days before the start of the fair. In exceptional cases, by mutual agreement, the contracting authority may modify these time limits. The provider undertakes to accept the comments, suggestions and possible reservations of the contracting authority and to incorporate them into the draft exposition so that it can be approved by the contracting authority in writing by mutual agreement no later than 18 working days before the start of the fair/exhibition. </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34"/>
        </w:tabs>
        <w:spacing w:after="0" w:before="0" w:line="306.99999999999994" w:lineRule="auto"/>
        <w:ind w:left="380" w:right="0" w:hanging="3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internal equipment/facilities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 of the implementation of the exposition is also the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provision of the equipment of the exposition with the appropriate internal equipment in accordance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architectural design, or possible adaptations on the basis of agreement with the contracting authority, at least e.g.:</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3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furniture, accessories, technical equipment (LCD monitors, tablets, touchscreens, sound systems, etc.), consumer equipment, background equipment for exhibitors, floral arrangements, etc. The description of the exposition equipment is given in the description of the subject of the contract in the section Description of the exposition.  The requirements for the internal equipment/equipment of the exposition are specified by the contracting authority in the annex - Price Calculation.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3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same timelines and rules for the approval process apply for indoor equipment/facilities as for exposition.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380" w:right="0" w:hanging="38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provision of other services related to the exposition, necessary for the professional presentation of Slovakia at the exhibition, at least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32"/>
        </w:tabs>
        <w:spacing w:after="0" w:before="0" w:line="306.99999999999994" w:lineRule="auto"/>
        <w:ind w:left="7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cleaning of the stand - the contracting authority requires general cleaning after the construction of the stand and cleaning 1x a day (morning or evening), including washing of the floor, cleaning of the interior equipment, removal of waste. Cleaning of the stand must be completed half an hour before the opening hour of the fair/exhibition. The work carried out will be checked by an employee of the contracting authority in the presence of the provider half an hour before the opening hour of the fair/exhibition.</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32"/>
        </w:tabs>
        <w:spacing w:after="0" w:before="0" w:line="306.99999999999994" w:lineRule="auto"/>
        <w:ind w:left="7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provision of disinfectants and personal protective equipment for possible prevention against the spread of Covid 19 virus for ST representatives and co-exhibitors in accordance with the organiser's rules, which the supplier is obliged to get acquainted with in advance (min. quantities: certified respirators FFP2 - 100 pcs, alcohol-based disinfectant with dispenser (gel, spray, etc.) 200 ml - 10 pcs, moistened antibacterial wipes - 10 pcs, disinfectant/antibacterial cleaner for cleaning surfaces 0,5l - 3 pcs, disposable paper towels - 10 pcs)</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32"/>
        </w:tabs>
        <w:spacing w:after="0" w:before="0" w:line="306.99999999999994" w:lineRule="auto"/>
        <w:ind w:left="7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fair administration services:</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076"/>
        </w:tabs>
        <w:spacing w:after="0" w:before="0" w:line="306.99999999999994" w:lineRule="auto"/>
        <w:ind w:left="7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connection to utilities: water/waste - connections, electricity 230 V/50 Hz/16 A, refrigerator circuit</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076"/>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stable internet for all co-exhibitors, including ST (wi-fi or other type of connection with a speed of min. 5 Mbps)</w:t>
      </w:r>
    </w:p>
    <w:p w:rsidR="00000000" w:rsidDel="00000000" w:rsidP="00000000" w:rsidRDefault="00000000" w:rsidRPr="00000000" w14:paraId="000000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076"/>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loading/unloading, assembly passes, parking passes, registration of participants and co-exhibitors, registration in the fair catalogue, exhibitor passes, transfer information folder in the press centre, hanging points (also included in the table), forklift and other equipment, storage, security, insurance during the fair, etc. </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732"/>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transport of promotional/presentation and other materials (hereinafter referred to as "materials"), designation of a location in Bratislava (and its approval by the contracting authority) for the receipt and dispensing of the materials to be transported (collection point)</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076"/>
        </w:tabs>
        <w:spacing w:after="0" w:before="0" w:line="306.99999999999994" w:lineRule="auto"/>
        <w:ind w:left="7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transport of materials from the ST premises to the collection point</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076"/>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transport of the contracting authority's materials (max. 200 kg) from the collection point to the fair/exhibition venue and back to Slovakia, in case of:</w:t>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455"/>
        </w:tabs>
        <w:spacing w:after="0" w:before="0" w:line="306.99999999999994" w:lineRule="auto"/>
        <w:ind w:left="14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contracting authority to ST's premises, from where the provider picked up the material for transport</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455"/>
        </w:tabs>
        <w:spacing w:after="0" w:before="0" w:line="306.99999999999994" w:lineRule="auto"/>
        <w:ind w:left="14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transport of co-exhibitors' materials from the collection point to the fair venue (14 co-exhibitors, max. 10 kg/co-exhibitor)</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076"/>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transport of materials from co-exhibitors to the collection point and back is not the subject of the contract, it is carried out outside the competence of ST according to the agreement of the provider with the specific co-exhibitor</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32"/>
        </w:tabs>
        <w:spacing w:after="0" w:before="0" w:line="306.99999999999994" w:lineRule="auto"/>
        <w:ind w:left="7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communication between the provider and individual co-exhibitors: obtaining documents for the purpose of marking individual co-exhibitors (business name, logo, QR code, contact address, brief description of the service offer), their registration in catalogues, import of their promotional materials to the respective fair. Contacts of co-exhibitors shall be supplied to the provider in writing by the contracting authority 20 working days prior to the start of the fair.</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32"/>
        </w:tabs>
        <w:spacing w:after="0" w:before="0" w:line="306.99999999999994" w:lineRule="auto"/>
        <w:ind w:left="3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Communication of the provider with SLOVAKIA TRAVEL: obtaining documents for the purpose of fulfilling the subject of the contract, its entry in catalogues, managing its profile on the portals of the exhibition centre.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32"/>
        </w:tabs>
        <w:spacing w:after="0" w:before="0" w:line="306.99999999999994" w:lineRule="auto"/>
        <w:ind w:left="7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32"/>
        </w:tabs>
        <w:spacing w:after="0" w:before="0" w:line="306.99999999999994" w:lineRule="auto"/>
        <w:ind w:left="7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service provider is obliged to ensure seamless operational communication in the Slovak language through personal meetings of its contact person with the contracting authority as requested, even within 24 hours, including weekends.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7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738"/>
        </w:tabs>
        <w:spacing w:after="0" w:before="0" w:line="306.99999999999994" w:lineRule="auto"/>
        <w:ind w:left="7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staffing</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108"/>
        </w:tabs>
        <w:spacing w:after="0" w:before="0" w:line="306.99999999999994" w:lineRule="auto"/>
        <w:ind w:left="11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for the realisation of the exposition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provider is obliged to provide an assembly team during the realisation of the exposition, to ensure the final preparation of the exposition and professional technical supervision (at least one representative of the provider). The technical supervision will also ensure the immediate elimination of technical deficiencies/problems that arise during the course of the fair.</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108"/>
        </w:tabs>
        <w:spacing w:after="0" w:before="0" w:line="306.99999999999994" w:lineRule="auto"/>
        <w:ind w:left="11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for the operation of the stand -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provider is obliged to provide a supervisor and other staff according to the requirements of the contracting authority for the entire duration of the fair/exhibition.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8"/>
        </w:tabs>
        <w:spacing w:after="0" w:before="0" w:line="306.99999999999994"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1"/>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Accompanying programme </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738"/>
        </w:tabs>
        <w:spacing w:after="0" w:before="0" w:line="306.99999999999994"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organisation and provision of the accompanying programme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provider will provide an accompanying programme during the IMTM 2023 according to the requirements of the ST. The accompanying programme shall be provided by the provider at times specified by the contracting authority and respecting the permissions of the individual fair administrations (including any required reimbursements) and the requirements of the contracting authority.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38"/>
        </w:tabs>
        <w:spacing w:after="0" w:before="0" w:line="306.99999999999994"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16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1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Catering</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Catering will be provided according to the exhibition centre specification, including Covid 19 Rules, with which the supplier will be made aware in advance. To serve hot drinks it is necessary to provide an automatic coffee machine, quality coffee (100% arabica etc. from a Slovak roastery), portioned tea (fruit, green, black), brown and white sugar,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coffee creamer/milk, honey portioned.</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Serving of Slovak wines, alcohol and soft drinks (according to the attached table).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Provision of staff for the operation of the exposition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provider is obliged to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a supervisor and other staff as required by the contracting authority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throughout the duration of the exhibition as described below.</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6"/>
        </w:tabs>
        <w:spacing w:after="0" w:before="0" w:line="276" w:lineRule="auto"/>
        <w:ind w:left="11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 of the accompanying programme in the form of presentation of Slovak gastronomy is also the provision of service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by professional service staff, which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must be highly representative with knowledge of social etiquette and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Slovak language at the level of mother tongue (ST reserves the right to change the staff at the stand), English 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Service staff: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the opening hours of the fair, a total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qualified* to professionally prepare and serve refreshments, including wine, for visitors/meetings taking place in the exhibition area, with language skills (SK, EN).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6"/>
        </w:tabs>
        <w:spacing w:after="0" w:before="0" w:line="276" w:lineRule="auto"/>
        <w:ind w:left="4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students, completed qualification as waiter, experience min. 2 years.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hostesses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language skills (SK, EN) and knowledge of Slovak realities. Their </w:t>
        <w:br w:type="textWrapping"/>
        <w:t xml:space="preserve">job description will be, in addition to providing information to visitors as instructed by</w:t>
        <w:br w:type="textWrapping"/>
        <w:t xml:space="preserve"> the contracting authority's representative, to assist the </w:t>
        <w:br w:type="textWrapping"/>
        <w:t xml:space="preserve">service staff on an ongoing basis throughout the exposition (sitting in the exposition and serving drinks, snacks,</w:t>
        <w:br w:type="textWrapping"/>
        <w:t xml:space="preserve"> ensuring the necessary inventory, washing dishes, ensuring order</w:t>
        <w:br w:type="textWrapping"/>
        <w:t xml:space="preserve"> in the kitchenette, exposition and background areas, etc.).</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will also be available to assist and service co-exhibitors with their</w:t>
        <w:br w:type="textWrapping"/>
        <w:t xml:space="preserve"> visits.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6"/>
        </w:tabs>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following is required of the staff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pleasant demeanour, proactive approach to</w:t>
        <w:br w:type="textWrapping"/>
        <w:t xml:space="preserve"> visitors, co-exhibitors, co-exhibitors' partners, </w:t>
        <w:br w:type="textWrapping"/>
        <w:t xml:space="preserve">knowledge of English and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 the case of at least 1 hostess, additional knowledge of the language of the respective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country (Hebrew) and knowledge of the local context.</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6"/>
        </w:tabs>
        <w:spacing w:after="0" w:before="0" w:line="276"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At the same time, the presence of service staff in the ST exposition stand </w:t>
        <w:br w:type="textWrapping"/>
        <w:t xml:space="preserve">is required for at least 30 minutes prior to the opening of the exhibition each</w:t>
        <w:br w:type="textWrapping"/>
        <w:t xml:space="preserve"> day of the exhibition and presence during the entire period (opening hours) of the exhibition.  </w:t>
        <w:br w:type="textWrapping"/>
        <w:t xml:space="preserve">                    The applicant is obliged to find out in advance and notify </w:t>
        <w:br w:type="textWrapping"/>
        <w:t xml:space="preserve">of the opening hours of each individual exhibition well in advance.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6"/>
        </w:tabs>
        <w:spacing w:after="0" w:before="0" w:line="276" w:lineRule="auto"/>
        <w:ind w:left="1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staff providing the presentation of Slovak gastronomy,</w:t>
        <w:br w:type="textWrapping"/>
        <w:t xml:space="preserve"> the service provider will also provide clothing/outfits (their design is subject to the approval of the contracting authority).</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91"/>
        </w:tabs>
        <w:spacing w:after="0" w:before="0" w:line="276" w:lineRule="auto"/>
        <w:ind w:left="11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Clothing: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service staff shall be uniform, identifiable as part of the focus of the exposition. It must correspond with the overall visual appearance of the exposition (modern, elegant design, simple lines).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87"/>
        </w:tabs>
        <w:spacing w:after="116" w:before="0" w:line="250" w:lineRule="auto"/>
        <w:ind w:left="7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987"/>
        </w:tabs>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Inventory rental: ceramics, glassware (dessert plates 40 pcs; soft drink glasses 48 pcs - 2 dl, coffee set 42 pcs - saucer, cup, spoon; tea set 24 pcs - saucer, cup, spoon; wine glasses 42 pcs - pcs for white wine, 36 pcs for red wine; complete set of cutlery 40 pcs - spoon, fork, knife, dessert spoon , deep plates 20 pcs , shallow plates 20 pcs, snack bowls, serving trays, coasters, wooden paddles, slate trays, baskets, fruit bowls.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inventory must be undamaged, of a modern design and approved by the contracting authority.</w:t>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987"/>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wine opener, napkins, toothpicks with the Slovak flag, cloths, bin liners, cleaning products for the background/kitchenette, etc.)</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Service staff (waiters, hostesses) will be used during all days of the exhibition and will be booked as such.</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the interests of economy and environmental friendliness, the contracting authority requests that unused and usable goods and catering with a remaining shelf life of more than 2 weeks be packed and delivered to the contracting authority's correspondence address (Lamačská cesta 8, 833 04 Bratislava).</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65">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Costs included in the price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4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tenderer must include in the maximum price for the realisation of the exposition the costs for all activities necessary for the professional performance of the subject of the contract at a representative level.</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741"/>
        </w:tabs>
        <w:spacing w:after="0" w:before="0" w:line="306.99999999999994" w:lineRule="auto"/>
        <w:ind w:left="740" w:right="0" w:hanging="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exposition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tenderer is obliged to include in the maximum price for the exposition the cost of:</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091"/>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implementation of the exposition solution (technical, graphic, architectural) </w:t>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091"/>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adaptation of the architectural design to the specific exhibition space allocated, based on consultation and approval by the contracting authority  </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091"/>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technical implementation of the exposition, i.e. pre-production and production of the exposition</w:t>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091"/>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assembly, dismantling, retrofitting, rental and insurance of the exposition</w:t>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091"/>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rental of furniture, accessories and other equipment of the exposition, including the inventory of the kitchen (small equipment)</w:t>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091"/>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rental of technical equipment (LCD monitors, tablets, sound system, touch screens, coffee machine, dishwasher, kettle, etc.)</w:t>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091"/>
        </w:tabs>
        <w:spacing w:after="0" w:before="0" w:line="306.99999999999994" w:lineRule="auto"/>
        <w:ind w:left="11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floral decoration</w:t>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114"/>
        </w:tabs>
        <w:spacing w:after="0" w:before="0" w:line="306.99999999999994"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transportation of the exposition, technical equipment, service staff and other team members</w:t>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114"/>
        </w:tabs>
        <w:spacing w:after="0" w:before="0" w:line="306.99999999999994" w:lineRule="auto"/>
        <w:ind w:left="11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transport of ST promotional/presentation and other materials from ST premises to the collection point</w:t>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114"/>
        </w:tabs>
        <w:spacing w:after="0" w:before="0" w:line="306.99999999999994" w:lineRule="auto"/>
        <w:ind w:left="11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transport of ST and co-exhibitors' materials from the collection point to the fair/exhibition venue and back to Slovakia</w:t>
      </w:r>
    </w:p>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114"/>
        </w:tabs>
        <w:spacing w:after="0" w:before="0" w:line="306.99999999999994" w:lineRule="auto"/>
        <w:ind w:left="11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personnel: assembly team, technical supervision, supervisor and staff as required by the contracting authority, their salary, fees and travel costs, including transport, accommodation and subsistence allowances</w:t>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114"/>
        </w:tabs>
        <w:spacing w:after="0" w:before="0" w:line="306.99999999999994" w:lineRule="auto"/>
        <w:ind w:left="11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services of the fair administration/city administration (water/wastewater connections, electricity), internet, loading/unloading, assembly passes, entry in the fair catalogue, exhibitor passes, transfers information folder in the press centre, hanging points, forklift and other equipment, storage, security, cleaning, parking passes, insurance during the exhibition...)</w:t>
      </w:r>
    </w:p>
    <w:p w:rsidR="00000000" w:rsidDel="00000000" w:rsidP="00000000" w:rsidRDefault="00000000" w:rsidRPr="00000000" w14:paraId="000000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114"/>
        </w:tabs>
        <w:spacing w:after="0" w:before="0" w:line="306.99999999999994" w:lineRule="auto"/>
        <w:ind w:left="11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overheads associated with the storage of the exposition and promotional materials in Slovakia, insurance, security, customs clearance costs, etc.</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14"/>
        </w:tabs>
        <w:spacing w:after="0" w:before="0" w:line="306.99999999999994" w:lineRule="auto"/>
        <w:ind w:left="11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7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Accompanying programme -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tenderer will calculate the accompanying programme in the offer at the times specified by ST and respecting the permission of the fair administration, with which the supplier is obliged to get acquainted in advance.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price for the accompanying programme will be invoiced as follows:</w:t>
      </w:r>
    </w:p>
    <w:p w:rsidR="00000000" w:rsidDel="00000000" w:rsidP="00000000" w:rsidRDefault="00000000" w:rsidRPr="00000000" w14:paraId="000000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114"/>
        </w:tabs>
        <w:spacing w:after="0" w:before="0" w:line="306.99999999999994"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price for the accompanying programme - in the amount agreed in writing by the contracting authority. In the price for the accompanying programme, the provider shall include all the costs of its provision, including the transport of service staff, the provision of their accommodation, honoraria, meals and any other costs.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14"/>
        </w:tabs>
        <w:spacing w:after="0" w:before="0" w:line="306.99999999999994"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7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tenderer must include in the maximum total price of the subject of the contract the costs of all activities necessary for the professional performance of the subject of the contract at a representative level.</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7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Exhibition dates are subject to change at the organiser's discretion.</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Acceptance of the exposition at the fair will be carried out by the provider on the basis of signed acceptance protocols by the customer. The acceptance protocols for the fair are created by the provider, namely</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acceptance protocol for the implementation of the exposition,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an acceptance protocol for the accompanying programme with a detailed breakdown of the services provided, refreshments and beverages, presentation items, a list of the performers in the accompanying programme and other related items.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Acceptance protocols will be accompanied by photographic documentation confirming the delivery of goods and services, to be produced by the tenderer/provider.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Further information/requirements on expositions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integral annex to this description of the subject of the contract is an architectural design together with a price calculation (annex) of the individual elements and equipment of the exposition, which are intended to be adapted to the allocated area.</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7" w:type="default"/>
          <w:footerReference r:id="rId8" w:type="even"/>
          <w:pgSz w:h="16840" w:w="11900" w:orient="portrait"/>
          <w:pgMar w:bottom="1418" w:top="1418" w:left="1418" w:right="1418" w:header="0" w:footer="6"/>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provider is obliged to comply with the requirements described in the entire description of the subject of the contract together with its annexes in the implementation of the exposition at this fair.</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09"/>
          <w:tab w:val="left" w:pos="2211"/>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widowControl w:val="1"/>
        <w:spacing w:after="160" w:line="259" w:lineRule="auto"/>
        <w:rPr>
          <w:rFonts w:ascii="Times New Roman" w:cs="Times New Roman" w:eastAsia="Times New Roman" w:hAnsi="Times New Roman"/>
          <w:b w:val="1"/>
        </w:rPr>
      </w:pPr>
      <w:r w:rsidDel="00000000" w:rsidR="00000000" w:rsidRPr="00000000">
        <w:rPr>
          <w:rtl w:val="0"/>
        </w:rPr>
      </w:r>
    </w:p>
    <w:sectPr>
      <w:type w:val="continuous"/>
      <w:pgSz w:h="16840" w:w="11900" w:orient="portrait"/>
      <w:pgMar w:bottom="1418" w:top="1418" w:left="1418" w:right="1418" w:header="0" w:footer="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rPr>
        <w:sz w:val="2"/>
        <w:szCs w:val="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1701800</wp:posOffset>
              </wp:positionH>
              <wp:positionV relativeFrom="paragraph">
                <wp:posOffset>10071100</wp:posOffset>
              </wp:positionV>
              <wp:extent cx="4048760" cy="120650"/>
              <wp:effectExtent b="0" l="0" r="0" t="0"/>
              <wp:wrapNone/>
              <wp:docPr id="24" name=""/>
              <a:graphic>
                <a:graphicData uri="http://schemas.microsoft.com/office/word/2010/wordprocessingShape">
                  <wps:wsp>
                    <wps:cNvSpPr/>
                    <wps:cNvPr id="2" name="Shape 2"/>
                    <wps:spPr>
                      <a:xfrm>
                        <a:off x="3331145" y="3729200"/>
                        <a:ext cx="4029710" cy="10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1701800</wp:posOffset>
              </wp:positionH>
              <wp:positionV relativeFrom="paragraph">
                <wp:posOffset>10071100</wp:posOffset>
              </wp:positionV>
              <wp:extent cx="4048760" cy="120650"/>
              <wp:effectExtent b="0" l="0" r="0" t="0"/>
              <wp:wrapNone/>
              <wp:docPr id="2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048760" cy="1206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rPr>
        <w:sz w:val="2"/>
        <w:szCs w:val="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Quattrocento Sans" w:cs="Quattrocento Sans" w:eastAsia="Quattrocento Sans" w:hAnsi="Quattrocento Sans"/>
        <w:b w:val="0"/>
        <w:i w:val="0"/>
        <w:smallCaps w:val="0"/>
        <w:strike w:val="0"/>
        <w:color w:val="000000"/>
        <w:sz w:val="20"/>
        <w:szCs w:val="20"/>
        <w:u w:val="none"/>
        <w:vertAlign w:val="baseline"/>
      </w:rPr>
    </w:lvl>
    <w:lvl w:ilvl="1">
      <w:start w:val="0"/>
      <w:numFmt w:val="bullet"/>
      <w:lvlText w:val=""/>
      <w:lvlJc w:val="left"/>
      <w:pPr>
        <w:ind w:left="0" w:firstLine="0"/>
      </w:pPr>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abstractNum w:abstractNumId="2">
    <w:lvl w:ilvl="0">
      <w:start w:val="1"/>
      <w:numFmt w:val="bullet"/>
      <w:lvlText w:val="■"/>
      <w:lvlJc w:val="left"/>
      <w:pPr>
        <w:ind w:left="0" w:firstLine="0"/>
      </w:pPr>
      <w:rPr>
        <w:rFonts w:ascii="Quattrocento Sans" w:cs="Quattrocento Sans" w:eastAsia="Quattrocento Sans" w:hAnsi="Quattrocento Sans"/>
        <w:b w:val="0"/>
        <w:i w:val="0"/>
        <w:smallCaps w:val="0"/>
        <w:strike w:val="0"/>
        <w:color w:val="000000"/>
        <w:sz w:val="20"/>
        <w:szCs w:val="20"/>
        <w:u w:val="none"/>
        <w:vertAlign w:val="baseline"/>
      </w:rPr>
    </w:lvl>
    <w:lvl w:ilvl="1">
      <w:start w:val="0"/>
      <w:numFmt w:val="bullet"/>
      <w:lvlText w:val=""/>
      <w:lvlJc w:val="left"/>
      <w:pPr>
        <w:ind w:left="0" w:firstLine="0"/>
      </w:pPr>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abstractNum w:abstractNumId="3">
    <w:lvl w:ilvl="0">
      <w:start w:val="1"/>
      <w:numFmt w:val="bullet"/>
      <w:lvlText w:val="*"/>
      <w:lvlJc w:val="left"/>
      <w:pPr>
        <w:ind w:left="0" w:firstLine="0"/>
      </w:pPr>
      <w:rPr>
        <w:rFonts w:ascii="Quattrocento Sans" w:cs="Quattrocento Sans" w:eastAsia="Quattrocento Sans" w:hAnsi="Quattrocento Sans"/>
        <w:b w:val="0"/>
        <w:i w:val="0"/>
        <w:smallCaps w:val="0"/>
        <w:strike w:val="0"/>
        <w:color w:val="000000"/>
        <w:sz w:val="20"/>
        <w:szCs w:val="20"/>
        <w:u w:val="none"/>
        <w:vertAlign w:val="baseline"/>
      </w:rPr>
    </w:lvl>
    <w:lvl w:ilvl="1">
      <w:start w:val="0"/>
      <w:numFmt w:val="bullet"/>
      <w:lvlText w:val=""/>
      <w:lvlJc w:val="left"/>
      <w:pPr>
        <w:ind w:left="0" w:firstLine="0"/>
      </w:pPr>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abstractNum w:abstractNumId="4">
    <w:lvl w:ilvl="0">
      <w:start w:val="1"/>
      <w:numFmt w:val="bullet"/>
      <w:lvlText w:val="-"/>
      <w:lvlJc w:val="left"/>
      <w:pPr>
        <w:ind w:left="0" w:firstLine="0"/>
      </w:pPr>
      <w:rPr>
        <w:rFonts w:ascii="Quattrocento Sans" w:cs="Quattrocento Sans" w:eastAsia="Quattrocento Sans" w:hAnsi="Quattrocento Sans"/>
        <w:b w:val="0"/>
        <w:i w:val="0"/>
        <w:smallCaps w:val="0"/>
        <w:strike w:val="0"/>
        <w:color w:val="000000"/>
        <w:sz w:val="20"/>
        <w:szCs w:val="20"/>
        <w:u w:val="none"/>
        <w:vertAlign w:val="baseline"/>
      </w:rPr>
    </w:lvl>
    <w:lvl w:ilvl="1">
      <w:start w:val="0"/>
      <w:numFmt w:val="bullet"/>
      <w:lvlText w:val=""/>
      <w:lvlJc w:val="left"/>
      <w:pPr>
        <w:ind w:left="0" w:firstLine="0"/>
      </w:pPr>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50A17"/>
    <w:pPr>
      <w:widowControl w:val="0"/>
      <w:spacing w:after="0" w:line="240" w:lineRule="auto"/>
    </w:pPr>
    <w:rPr>
      <w:rFonts w:ascii="Microsoft Sans Serif" w:cs="Microsoft Sans Serif" w:eastAsia="Microsoft Sans Serif" w:hAnsi="Microsoft Sans Serif"/>
      <w:color w:val="000000"/>
      <w:sz w:val="24"/>
      <w:szCs w:val="24"/>
      <w:lang w:bidi="sk-SK" w:eastAsia="sk-SK"/>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lavikaalebopta9" w:customStyle="1">
    <w:name w:val="Hlavička alebo päta (9)_"/>
    <w:basedOn w:val="DefaultParagraphFont"/>
    <w:link w:val="Hlavikaalebopta90"/>
    <w:rsid w:val="00D50A17"/>
    <w:rPr>
      <w:rFonts w:ascii="Segoe UI" w:cs="Segoe UI" w:eastAsia="Segoe UI" w:hAnsi="Segoe UI"/>
      <w:sz w:val="12"/>
      <w:szCs w:val="12"/>
      <w:shd w:color="auto" w:fill="ffffff" w:val="clear"/>
    </w:rPr>
  </w:style>
  <w:style w:type="character" w:styleId="Hlavikaalebopta9Tahoma75bodov" w:customStyle="1">
    <w:name w:val="Hlavička alebo päta (9) + Tahoma;7;5 bodov"/>
    <w:basedOn w:val="Hlavikaalebopta9"/>
    <w:rsid w:val="00D50A17"/>
    <w:rPr>
      <w:rFonts w:ascii="Tahoma" w:cs="Tahoma" w:eastAsia="Tahoma" w:hAnsi="Tahoma"/>
      <w:color w:val="000000"/>
      <w:spacing w:val="0"/>
      <w:w w:val="100"/>
      <w:position w:val="0"/>
      <w:sz w:val="15"/>
      <w:szCs w:val="15"/>
      <w:shd w:color="auto" w:fill="ffffff" w:val="clear"/>
      <w:lang w:bidi="sk-SK" w:eastAsia="sk-SK" w:val="sk-SK"/>
    </w:rPr>
  </w:style>
  <w:style w:type="character" w:styleId="NzovobrzkaExact" w:customStyle="1">
    <w:name w:val="Názov obrázka Exact"/>
    <w:basedOn w:val="DefaultParagraphFont"/>
    <w:link w:val="Nzovobrzka"/>
    <w:rsid w:val="00D50A17"/>
    <w:rPr>
      <w:rFonts w:ascii="Tahoma" w:cs="Tahoma" w:eastAsia="Tahoma" w:hAnsi="Tahoma"/>
      <w:sz w:val="14"/>
      <w:szCs w:val="14"/>
      <w:shd w:color="auto" w:fill="ffffff" w:val="clear"/>
    </w:rPr>
  </w:style>
  <w:style w:type="character" w:styleId="Zhlavie8" w:customStyle="1">
    <w:name w:val="Záhlavie #8_"/>
    <w:basedOn w:val="DefaultParagraphFont"/>
    <w:link w:val="Zhlavie80"/>
    <w:rsid w:val="00D50A17"/>
    <w:rPr>
      <w:rFonts w:ascii="Segoe UI" w:cs="Segoe UI" w:eastAsia="Segoe UI" w:hAnsi="Segoe UI"/>
      <w:b w:val="1"/>
      <w:bCs w:val="1"/>
      <w:sz w:val="24"/>
      <w:szCs w:val="24"/>
      <w:shd w:color="auto" w:fill="ffffff" w:val="clear"/>
    </w:rPr>
  </w:style>
  <w:style w:type="character" w:styleId="Zkladntext3" w:customStyle="1">
    <w:name w:val="Základný text (3)_"/>
    <w:basedOn w:val="DefaultParagraphFont"/>
    <w:link w:val="Zkladntext30"/>
    <w:rsid w:val="00D50A17"/>
    <w:rPr>
      <w:rFonts w:ascii="Segoe UI" w:cs="Segoe UI" w:eastAsia="Segoe UI" w:hAnsi="Segoe UI"/>
      <w:b w:val="1"/>
      <w:bCs w:val="1"/>
      <w:sz w:val="20"/>
      <w:szCs w:val="20"/>
      <w:shd w:color="auto" w:fill="ffffff" w:val="clear"/>
    </w:rPr>
  </w:style>
  <w:style w:type="character" w:styleId="Zkladntext2" w:customStyle="1">
    <w:name w:val="Základný text (2)_"/>
    <w:basedOn w:val="DefaultParagraphFont"/>
    <w:link w:val="Zkladntext20"/>
    <w:rsid w:val="00D50A17"/>
    <w:rPr>
      <w:rFonts w:ascii="Segoe UI" w:cs="Segoe UI" w:eastAsia="Segoe UI" w:hAnsi="Segoe UI"/>
      <w:sz w:val="20"/>
      <w:szCs w:val="20"/>
      <w:shd w:color="auto" w:fill="ffffff" w:val="clear"/>
    </w:rPr>
  </w:style>
  <w:style w:type="character" w:styleId="Zkladntext2Tun" w:customStyle="1">
    <w:name w:val="Základný text (2) + Tučné"/>
    <w:basedOn w:val="Zkladntext2"/>
    <w:rsid w:val="00D50A17"/>
    <w:rPr>
      <w:rFonts w:ascii="Segoe UI" w:cs="Segoe UI" w:eastAsia="Segoe UI" w:hAnsi="Segoe UI"/>
      <w:b w:val="1"/>
      <w:bCs w:val="1"/>
      <w:color w:val="000000"/>
      <w:spacing w:val="0"/>
      <w:w w:val="100"/>
      <w:position w:val="0"/>
      <w:sz w:val="20"/>
      <w:szCs w:val="20"/>
      <w:shd w:color="auto" w:fill="ffffff" w:val="clear"/>
      <w:lang w:bidi="sk-SK" w:eastAsia="sk-SK" w:val="sk-SK"/>
    </w:rPr>
  </w:style>
  <w:style w:type="character" w:styleId="Zhlavie9" w:customStyle="1">
    <w:name w:val="Záhlavie #9_"/>
    <w:basedOn w:val="DefaultParagraphFont"/>
    <w:link w:val="Zhlavie90"/>
    <w:rsid w:val="00D50A17"/>
    <w:rPr>
      <w:rFonts w:ascii="Segoe UI" w:cs="Segoe UI" w:eastAsia="Segoe UI" w:hAnsi="Segoe UI"/>
      <w:b w:val="1"/>
      <w:bCs w:val="1"/>
      <w:sz w:val="24"/>
      <w:szCs w:val="24"/>
      <w:shd w:color="auto" w:fill="ffffff" w:val="clear"/>
    </w:rPr>
  </w:style>
  <w:style w:type="character" w:styleId="Zkladntext5" w:customStyle="1">
    <w:name w:val="Základný text (5)_"/>
    <w:basedOn w:val="DefaultParagraphFont"/>
    <w:link w:val="Zkladntext50"/>
    <w:rsid w:val="00D50A17"/>
    <w:rPr>
      <w:rFonts w:ascii="Segoe UI" w:cs="Segoe UI" w:eastAsia="Segoe UI" w:hAnsi="Segoe UI"/>
      <w:b w:val="1"/>
      <w:bCs w:val="1"/>
      <w:i w:val="1"/>
      <w:iCs w:val="1"/>
      <w:sz w:val="20"/>
      <w:szCs w:val="20"/>
      <w:shd w:color="auto" w:fill="ffffff" w:val="clear"/>
    </w:rPr>
  </w:style>
  <w:style w:type="character" w:styleId="Zkladntext2TunKurzva" w:customStyle="1">
    <w:name w:val="Základný text (2) + Tučné;Kurzíva"/>
    <w:basedOn w:val="Zkladntext2"/>
    <w:rsid w:val="00D50A17"/>
    <w:rPr>
      <w:rFonts w:ascii="Segoe UI" w:cs="Segoe UI" w:eastAsia="Segoe UI" w:hAnsi="Segoe UI"/>
      <w:b w:val="1"/>
      <w:bCs w:val="1"/>
      <w:i w:val="1"/>
      <w:iCs w:val="1"/>
      <w:color w:val="000000"/>
      <w:spacing w:val="0"/>
      <w:w w:val="100"/>
      <w:position w:val="0"/>
      <w:sz w:val="20"/>
      <w:szCs w:val="20"/>
      <w:shd w:color="auto" w:fill="ffffff" w:val="clear"/>
      <w:lang w:bidi="sk-SK" w:eastAsia="sk-SK" w:val="sk-SK"/>
    </w:rPr>
  </w:style>
  <w:style w:type="character" w:styleId="Nzovtabuky" w:customStyle="1">
    <w:name w:val="Názov tabuľky_"/>
    <w:basedOn w:val="DefaultParagraphFont"/>
    <w:link w:val="Nzovtabuky0"/>
    <w:rsid w:val="00D50A17"/>
    <w:rPr>
      <w:rFonts w:ascii="Segoe UI" w:cs="Segoe UI" w:eastAsia="Segoe UI" w:hAnsi="Segoe UI"/>
      <w:sz w:val="20"/>
      <w:szCs w:val="20"/>
      <w:shd w:color="auto" w:fill="ffffff" w:val="clear"/>
    </w:rPr>
  </w:style>
  <w:style w:type="character" w:styleId="Nzovtabuky12bodovTun" w:customStyle="1">
    <w:name w:val="Názov tabuľky + 12 bodov;Tučné"/>
    <w:basedOn w:val="Nzovtabuky"/>
    <w:rsid w:val="00D50A17"/>
    <w:rPr>
      <w:rFonts w:ascii="Segoe UI" w:cs="Segoe UI" w:eastAsia="Segoe UI" w:hAnsi="Segoe UI"/>
      <w:b w:val="1"/>
      <w:bCs w:val="1"/>
      <w:color w:val="000000"/>
      <w:spacing w:val="0"/>
      <w:w w:val="100"/>
      <w:position w:val="0"/>
      <w:sz w:val="24"/>
      <w:szCs w:val="24"/>
      <w:shd w:color="auto" w:fill="ffffff" w:val="clear"/>
      <w:lang w:bidi="sk-SK" w:eastAsia="sk-SK" w:val="sk-SK"/>
    </w:rPr>
  </w:style>
  <w:style w:type="character" w:styleId="Nzovtabuky2" w:customStyle="1">
    <w:name w:val="Názov tabuľky (2)_"/>
    <w:basedOn w:val="DefaultParagraphFont"/>
    <w:link w:val="Nzovtabuky20"/>
    <w:rsid w:val="00D50A17"/>
    <w:rPr>
      <w:rFonts w:ascii="Tahoma" w:cs="Tahoma" w:eastAsia="Tahoma" w:hAnsi="Tahoma"/>
      <w:sz w:val="14"/>
      <w:szCs w:val="14"/>
      <w:shd w:color="auto" w:fill="ffffff" w:val="clear"/>
    </w:rPr>
  </w:style>
  <w:style w:type="character" w:styleId="Zkladntext212bodovTun" w:customStyle="1">
    <w:name w:val="Základný text (2) + 12 bodov;Tučné"/>
    <w:basedOn w:val="Zkladntext2"/>
    <w:rsid w:val="00D50A17"/>
    <w:rPr>
      <w:rFonts w:ascii="Segoe UI" w:cs="Segoe UI" w:eastAsia="Segoe UI" w:hAnsi="Segoe UI"/>
      <w:b w:val="1"/>
      <w:bCs w:val="1"/>
      <w:color w:val="ffffff"/>
      <w:spacing w:val="0"/>
      <w:w w:val="100"/>
      <w:position w:val="0"/>
      <w:sz w:val="24"/>
      <w:szCs w:val="24"/>
      <w:shd w:color="auto" w:fill="ffffff" w:val="clear"/>
      <w:lang w:bidi="sk-SK" w:eastAsia="sk-SK" w:val="sk-SK"/>
    </w:rPr>
  </w:style>
  <w:style w:type="character" w:styleId="Zkladntext27bodov" w:customStyle="1">
    <w:name w:val="Základný text (2) + 7 bodov"/>
    <w:basedOn w:val="Zkladntext2"/>
    <w:rsid w:val="00D50A17"/>
    <w:rPr>
      <w:rFonts w:ascii="Segoe UI" w:cs="Segoe UI" w:eastAsia="Segoe UI" w:hAnsi="Segoe UI"/>
      <w:color w:val="ffffff"/>
      <w:spacing w:val="0"/>
      <w:w w:val="100"/>
      <w:position w:val="0"/>
      <w:sz w:val="14"/>
      <w:szCs w:val="14"/>
      <w:shd w:color="auto" w:fill="ffffff" w:val="clear"/>
      <w:lang w:bidi="sk-SK" w:eastAsia="sk-SK" w:val="sk-SK"/>
    </w:rPr>
  </w:style>
  <w:style w:type="character" w:styleId="Zkladntext2TimesNewRoman8bodov" w:customStyle="1">
    <w:name w:val="Základný text (2) + Times New Roman;8 bodov"/>
    <w:basedOn w:val="Zkladntext2"/>
    <w:rsid w:val="00D50A17"/>
    <w:rPr>
      <w:rFonts w:ascii="Times New Roman" w:cs="Times New Roman" w:eastAsia="Times New Roman" w:hAnsi="Times New Roman"/>
      <w:color w:val="ffffff"/>
      <w:spacing w:val="0"/>
      <w:w w:val="100"/>
      <w:position w:val="0"/>
      <w:sz w:val="16"/>
      <w:szCs w:val="16"/>
      <w:shd w:color="auto" w:fill="ffffff" w:val="clear"/>
      <w:lang w:bidi="sk-SK" w:eastAsia="sk-SK" w:val="sk-SK"/>
    </w:rPr>
  </w:style>
  <w:style w:type="character" w:styleId="Zkladntext295bodovKurzva" w:customStyle="1">
    <w:name w:val="Základný text (2) + 9;5 bodov;Kurzíva"/>
    <w:basedOn w:val="Zkladntext2"/>
    <w:rsid w:val="00D50A17"/>
    <w:rPr>
      <w:rFonts w:ascii="Segoe UI" w:cs="Segoe UI" w:eastAsia="Segoe UI" w:hAnsi="Segoe UI"/>
      <w:i w:val="1"/>
      <w:iCs w:val="1"/>
      <w:color w:val="000000"/>
      <w:spacing w:val="0"/>
      <w:w w:val="100"/>
      <w:position w:val="0"/>
      <w:sz w:val="19"/>
      <w:szCs w:val="19"/>
      <w:shd w:color="auto" w:fill="ffffff" w:val="clear"/>
      <w:lang w:bidi="sk-SK" w:eastAsia="sk-SK" w:val="sk-SK"/>
    </w:rPr>
  </w:style>
  <w:style w:type="paragraph" w:styleId="Hlavikaalebopta90" w:customStyle="1">
    <w:name w:val="Hlavička alebo päta (9)"/>
    <w:basedOn w:val="Normal"/>
    <w:link w:val="Hlavikaalebopta9"/>
    <w:rsid w:val="00D50A17"/>
    <w:pPr>
      <w:shd w:color="auto" w:fill="ffffff" w:val="clear"/>
      <w:spacing w:before="120" w:line="0" w:lineRule="atLeast"/>
    </w:pPr>
    <w:rPr>
      <w:rFonts w:ascii="Segoe UI" w:cs="Segoe UI" w:eastAsia="Segoe UI" w:hAnsi="Segoe UI"/>
      <w:color w:val="auto"/>
      <w:sz w:val="12"/>
      <w:szCs w:val="12"/>
      <w:lang w:bidi="ar-SA" w:eastAsia="en-US"/>
    </w:rPr>
  </w:style>
  <w:style w:type="paragraph" w:styleId="Nzovobrzka" w:customStyle="1">
    <w:name w:val="Názov obrázka"/>
    <w:basedOn w:val="Normal"/>
    <w:link w:val="NzovobrzkaExact"/>
    <w:rsid w:val="00D50A17"/>
    <w:pPr>
      <w:shd w:color="auto" w:fill="ffffff" w:val="clear"/>
      <w:spacing w:line="254" w:lineRule="exact"/>
      <w:jc w:val="both"/>
    </w:pPr>
    <w:rPr>
      <w:rFonts w:ascii="Tahoma" w:cs="Tahoma" w:eastAsia="Tahoma" w:hAnsi="Tahoma"/>
      <w:color w:val="auto"/>
      <w:sz w:val="14"/>
      <w:szCs w:val="14"/>
      <w:lang w:bidi="ar-SA" w:eastAsia="en-US"/>
    </w:rPr>
  </w:style>
  <w:style w:type="paragraph" w:styleId="Zkladntext30" w:customStyle="1">
    <w:name w:val="Základný text (3)"/>
    <w:basedOn w:val="Normal"/>
    <w:link w:val="Zkladntext3"/>
    <w:rsid w:val="00D50A17"/>
    <w:pPr>
      <w:shd w:color="auto" w:fill="ffffff" w:val="clear"/>
      <w:spacing w:before="180" w:line="307" w:lineRule="exact"/>
      <w:ind w:hanging="360"/>
      <w:jc w:val="center"/>
    </w:pPr>
    <w:rPr>
      <w:rFonts w:ascii="Segoe UI" w:cs="Segoe UI" w:eastAsia="Segoe UI" w:hAnsi="Segoe UI"/>
      <w:b w:val="1"/>
      <w:bCs w:val="1"/>
      <w:color w:val="auto"/>
      <w:sz w:val="20"/>
      <w:szCs w:val="20"/>
      <w:lang w:bidi="ar-SA" w:eastAsia="en-US"/>
    </w:rPr>
  </w:style>
  <w:style w:type="paragraph" w:styleId="Zkladntext20" w:customStyle="1">
    <w:name w:val="Základný text (2)"/>
    <w:basedOn w:val="Normal"/>
    <w:link w:val="Zkladntext2"/>
    <w:rsid w:val="00D50A17"/>
    <w:pPr>
      <w:shd w:color="auto" w:fill="ffffff" w:val="clear"/>
      <w:spacing w:line="307" w:lineRule="exact"/>
      <w:ind w:hanging="1060"/>
    </w:pPr>
    <w:rPr>
      <w:rFonts w:ascii="Segoe UI" w:cs="Segoe UI" w:eastAsia="Segoe UI" w:hAnsi="Segoe UI"/>
      <w:color w:val="auto"/>
      <w:sz w:val="20"/>
      <w:szCs w:val="20"/>
      <w:lang w:bidi="ar-SA" w:eastAsia="en-US"/>
    </w:rPr>
  </w:style>
  <w:style w:type="paragraph" w:styleId="Zhlavie80" w:customStyle="1">
    <w:name w:val="Záhlavie #8"/>
    <w:basedOn w:val="Normal"/>
    <w:link w:val="Zhlavie8"/>
    <w:rsid w:val="00D50A17"/>
    <w:pPr>
      <w:shd w:color="auto" w:fill="ffffff" w:val="clear"/>
      <w:spacing w:after="180" w:line="0" w:lineRule="atLeast"/>
      <w:jc w:val="center"/>
      <w:outlineLvl w:val="7"/>
    </w:pPr>
    <w:rPr>
      <w:rFonts w:ascii="Segoe UI" w:cs="Segoe UI" w:eastAsia="Segoe UI" w:hAnsi="Segoe UI"/>
      <w:b w:val="1"/>
      <w:bCs w:val="1"/>
      <w:color w:val="auto"/>
      <w:lang w:bidi="ar-SA" w:eastAsia="en-US"/>
    </w:rPr>
  </w:style>
  <w:style w:type="paragraph" w:styleId="Zhlavie90" w:customStyle="1">
    <w:name w:val="Záhlavie #9"/>
    <w:basedOn w:val="Normal"/>
    <w:link w:val="Zhlavie9"/>
    <w:rsid w:val="00D50A17"/>
    <w:pPr>
      <w:shd w:color="auto" w:fill="ffffff" w:val="clear"/>
      <w:spacing w:after="120" w:line="0" w:lineRule="atLeast"/>
      <w:jc w:val="both"/>
      <w:outlineLvl w:val="8"/>
    </w:pPr>
    <w:rPr>
      <w:rFonts w:ascii="Segoe UI" w:cs="Segoe UI" w:eastAsia="Segoe UI" w:hAnsi="Segoe UI"/>
      <w:b w:val="1"/>
      <w:bCs w:val="1"/>
      <w:color w:val="auto"/>
      <w:lang w:bidi="ar-SA" w:eastAsia="en-US"/>
    </w:rPr>
  </w:style>
  <w:style w:type="paragraph" w:styleId="Zkladntext50" w:customStyle="1">
    <w:name w:val="Základný text (5)"/>
    <w:basedOn w:val="Normal"/>
    <w:link w:val="Zkladntext5"/>
    <w:rsid w:val="00D50A17"/>
    <w:pPr>
      <w:shd w:color="auto" w:fill="ffffff" w:val="clear"/>
      <w:spacing w:line="307" w:lineRule="exact"/>
      <w:ind w:hanging="360"/>
      <w:jc w:val="both"/>
    </w:pPr>
    <w:rPr>
      <w:rFonts w:ascii="Segoe UI" w:cs="Segoe UI" w:eastAsia="Segoe UI" w:hAnsi="Segoe UI"/>
      <w:b w:val="1"/>
      <w:bCs w:val="1"/>
      <w:i w:val="1"/>
      <w:iCs w:val="1"/>
      <w:color w:val="auto"/>
      <w:sz w:val="20"/>
      <w:szCs w:val="20"/>
      <w:lang w:bidi="ar-SA" w:eastAsia="en-US"/>
    </w:rPr>
  </w:style>
  <w:style w:type="paragraph" w:styleId="Nzovtabuky0" w:customStyle="1">
    <w:name w:val="Názov tabuľky"/>
    <w:basedOn w:val="Normal"/>
    <w:link w:val="Nzovtabuky"/>
    <w:rsid w:val="00D50A17"/>
    <w:pPr>
      <w:shd w:color="auto" w:fill="ffffff" w:val="clear"/>
      <w:spacing w:line="360" w:lineRule="exact"/>
    </w:pPr>
    <w:rPr>
      <w:rFonts w:ascii="Segoe UI" w:cs="Segoe UI" w:eastAsia="Segoe UI" w:hAnsi="Segoe UI"/>
      <w:color w:val="auto"/>
      <w:sz w:val="20"/>
      <w:szCs w:val="20"/>
      <w:lang w:bidi="ar-SA" w:eastAsia="en-US"/>
    </w:rPr>
  </w:style>
  <w:style w:type="paragraph" w:styleId="Nzovtabuky20" w:customStyle="1">
    <w:name w:val="Názov tabuľky (2)"/>
    <w:basedOn w:val="Normal"/>
    <w:link w:val="Nzovtabuky2"/>
    <w:rsid w:val="00D50A17"/>
    <w:pPr>
      <w:shd w:color="auto" w:fill="ffffff" w:val="clear"/>
      <w:spacing w:line="254" w:lineRule="exact"/>
      <w:jc w:val="right"/>
    </w:pPr>
    <w:rPr>
      <w:rFonts w:ascii="Tahoma" w:cs="Tahoma" w:eastAsia="Tahoma" w:hAnsi="Tahoma"/>
      <w:color w:val="auto"/>
      <w:sz w:val="14"/>
      <w:szCs w:val="14"/>
      <w:lang w:bidi="ar-SA" w:eastAsia="en-US"/>
    </w:rPr>
  </w:style>
  <w:style w:type="paragraph" w:styleId="bod" w:customStyle="1">
    <w:name w:val="bod"/>
    <w:basedOn w:val="Normal"/>
    <w:rsid w:val="00C67385"/>
    <w:pPr>
      <w:widowControl w:val="1"/>
      <w:tabs>
        <w:tab w:val="num" w:pos="680"/>
      </w:tabs>
      <w:spacing w:after="200" w:line="276" w:lineRule="auto"/>
      <w:ind w:left="680" w:hanging="680"/>
    </w:pPr>
    <w:rPr>
      <w:rFonts w:cs="Times New Roman" w:eastAsia="Times New Roman" w:asciiTheme="minorHAnsi" w:hAnsiTheme="minorHAnsi"/>
      <w:color w:val="auto"/>
      <w:sz w:val="22"/>
      <w:szCs w:val="22"/>
      <w:lang w:bidi="ar-SA" w:eastAsia="en-US"/>
    </w:rPr>
  </w:style>
  <w:style w:type="table" w:styleId="Mriekatabuky1" w:customStyle="1">
    <w:name w:val="Mriežka tabuľky1"/>
    <w:basedOn w:val="TableNormal"/>
    <w:next w:val="TableGrid"/>
    <w:uiPriority w:val="59"/>
    <w:rsid w:val="005E2769"/>
    <w:pPr>
      <w:spacing w:after="0" w:line="240" w:lineRule="auto"/>
    </w:pPr>
    <w:rPr>
      <w:rFonts w:ascii="Calibri" w:cs="Times New Roman" w:hAnsi="Calibri"/>
      <w:szCs w:val="1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5E276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ullet 1,Bullet Number,List Paragraph11,Odsek,Use Case List Paragraph,body,lp1,lp11"/>
    <w:basedOn w:val="Normal"/>
    <w:link w:val="OdsekzoznamuChar"/>
    <w:uiPriority w:val="34"/>
    <w:qFormat w:val="1"/>
    <w:rsid w:val="00AD60E2"/>
    <w:pPr>
      <w:widowControl w:val="1"/>
      <w:spacing w:after="200" w:line="276" w:lineRule="auto"/>
      <w:ind w:left="720"/>
      <w:contextualSpacing w:val="1"/>
    </w:pPr>
    <w:rPr>
      <w:rFonts w:ascii="Calibri" w:cs="Times New Roman" w:eastAsia="Calibri" w:hAnsi="Calibri"/>
      <w:color w:val="auto"/>
      <w:sz w:val="22"/>
      <w:szCs w:val="22"/>
      <w:lang w:bidi="ar-SA" w:eastAsia="en-US"/>
    </w:rPr>
  </w:style>
  <w:style w:type="character" w:styleId="OdsekzoznamuChar" w:customStyle="1">
    <w:name w:val="Odsek zoznamu Char"/>
    <w:aliases w:val="Bullet 1 Char,Bullet Number Char,List Paragraph11 Char,Odsek Char,Use Case List Paragraph Char,body Char,lp1 Char,lp11 Char"/>
    <w:link w:val="ListParagraph"/>
    <w:qFormat w:val="1"/>
    <w:locked w:val="1"/>
    <w:rsid w:val="00AD60E2"/>
    <w:rPr>
      <w:rFonts w:ascii="Calibri" w:cs="Times New Roman" w:eastAsia="Calibri" w:hAnsi="Calibri"/>
    </w:rPr>
  </w:style>
  <w:style w:type="character" w:styleId="CommentReference">
    <w:name w:val="annotation reference"/>
    <w:basedOn w:val="DefaultParagraphFont"/>
    <w:uiPriority w:val="99"/>
    <w:semiHidden w:val="1"/>
    <w:unhideWhenUsed w:val="1"/>
    <w:rsid w:val="000F754D"/>
    <w:rPr>
      <w:sz w:val="16"/>
      <w:szCs w:val="16"/>
    </w:rPr>
  </w:style>
  <w:style w:type="paragraph" w:styleId="CommentText">
    <w:name w:val="annotation text"/>
    <w:basedOn w:val="Normal"/>
    <w:link w:val="TextkomentraChar"/>
    <w:uiPriority w:val="99"/>
    <w:unhideWhenUsed w:val="1"/>
    <w:rsid w:val="000F754D"/>
    <w:rPr>
      <w:sz w:val="20"/>
      <w:szCs w:val="20"/>
    </w:rPr>
  </w:style>
  <w:style w:type="character" w:styleId="TextkomentraChar" w:customStyle="1">
    <w:name w:val="Text komentára Char"/>
    <w:basedOn w:val="DefaultParagraphFont"/>
    <w:link w:val="CommentText"/>
    <w:uiPriority w:val="99"/>
    <w:rsid w:val="000F754D"/>
    <w:rPr>
      <w:rFonts w:ascii="Microsoft Sans Serif" w:cs="Microsoft Sans Serif" w:eastAsia="Microsoft Sans Serif" w:hAnsi="Microsoft Sans Serif"/>
      <w:color w:val="000000"/>
      <w:sz w:val="20"/>
      <w:szCs w:val="20"/>
      <w:lang w:bidi="sk-SK" w:eastAsia="sk-SK"/>
    </w:rPr>
  </w:style>
  <w:style w:type="paragraph" w:styleId="CommentSubject">
    <w:name w:val="annotation subject"/>
    <w:basedOn w:val="CommentText"/>
    <w:next w:val="CommentText"/>
    <w:link w:val="PredmetkomentraChar"/>
    <w:uiPriority w:val="99"/>
    <w:semiHidden w:val="1"/>
    <w:unhideWhenUsed w:val="1"/>
    <w:rsid w:val="000F754D"/>
    <w:rPr>
      <w:b w:val="1"/>
      <w:bCs w:val="1"/>
    </w:rPr>
  </w:style>
  <w:style w:type="character" w:styleId="PredmetkomentraChar" w:customStyle="1">
    <w:name w:val="Predmet komentára Char"/>
    <w:basedOn w:val="TextkomentraChar"/>
    <w:link w:val="CommentSubject"/>
    <w:uiPriority w:val="99"/>
    <w:semiHidden w:val="1"/>
    <w:rsid w:val="000F754D"/>
    <w:rPr>
      <w:rFonts w:ascii="Microsoft Sans Serif" w:cs="Microsoft Sans Serif" w:eastAsia="Microsoft Sans Serif" w:hAnsi="Microsoft Sans Serif"/>
      <w:b w:val="1"/>
      <w:bCs w:val="1"/>
      <w:color w:val="000000"/>
      <w:sz w:val="20"/>
      <w:szCs w:val="20"/>
      <w:lang w:bidi="sk-SK" w:eastAsia="sk-SK"/>
    </w:rPr>
  </w:style>
  <w:style w:type="character" w:styleId="Emphasis">
    <w:name w:val="Emphasis"/>
    <w:basedOn w:val="DefaultParagraphFont"/>
    <w:uiPriority w:val="20"/>
    <w:qFormat w:val="1"/>
    <w:rsid w:val="00AA1015"/>
    <w:rPr>
      <w:i w:val="1"/>
      <w:iCs w:val="1"/>
    </w:rPr>
  </w:style>
  <w:style w:type="paragraph" w:styleId="NoSpacing">
    <w:name w:val="No Spacing"/>
    <w:uiPriority w:val="1"/>
    <w:qFormat w:val="1"/>
    <w:rsid w:val="00491FC5"/>
    <w:pPr>
      <w:widowControl w:val="0"/>
      <w:spacing w:after="0" w:line="240" w:lineRule="auto"/>
    </w:pPr>
    <w:rPr>
      <w:rFonts w:ascii="Microsoft Sans Serif" w:cs="Microsoft Sans Serif" w:eastAsia="Microsoft Sans Serif" w:hAnsi="Microsoft Sans Serif"/>
      <w:color w:val="000000"/>
      <w:sz w:val="24"/>
      <w:szCs w:val="24"/>
      <w:lang w:bidi="sk-SK" w:eastAsia="sk-SK"/>
    </w:rPr>
  </w:style>
  <w:style w:type="paragraph" w:styleId="Revision">
    <w:name w:val="Revision"/>
    <w:hidden w:val="1"/>
    <w:uiPriority w:val="99"/>
    <w:semiHidden w:val="1"/>
    <w:rsid w:val="00601956"/>
    <w:pPr>
      <w:spacing w:after="0" w:line="240" w:lineRule="auto"/>
    </w:pPr>
    <w:rPr>
      <w:rFonts w:ascii="Microsoft Sans Serif" w:cs="Microsoft Sans Serif" w:eastAsia="Microsoft Sans Serif" w:hAnsi="Microsoft Sans Serif"/>
      <w:color w:val="000000"/>
      <w:sz w:val="24"/>
      <w:szCs w:val="24"/>
      <w:lang w:bidi="sk-SK" w:eastAsia="sk-SK"/>
    </w:rPr>
  </w:style>
  <w:style w:type="paragraph" w:styleId="Header">
    <w:name w:val="header"/>
    <w:basedOn w:val="Normal"/>
    <w:link w:val="HlavikaChar"/>
    <w:uiPriority w:val="99"/>
    <w:unhideWhenUsed w:val="1"/>
    <w:rsid w:val="004666BD"/>
    <w:pPr>
      <w:tabs>
        <w:tab w:val="center" w:pos="4536"/>
        <w:tab w:val="right" w:pos="9072"/>
      </w:tabs>
    </w:pPr>
  </w:style>
  <w:style w:type="character" w:styleId="HlavikaChar" w:customStyle="1">
    <w:name w:val="Hlavička Char"/>
    <w:basedOn w:val="DefaultParagraphFont"/>
    <w:link w:val="Header"/>
    <w:uiPriority w:val="99"/>
    <w:rsid w:val="004666BD"/>
    <w:rPr>
      <w:rFonts w:ascii="Microsoft Sans Serif" w:cs="Microsoft Sans Serif" w:eastAsia="Microsoft Sans Serif" w:hAnsi="Microsoft Sans Serif"/>
      <w:color w:val="000000"/>
      <w:sz w:val="24"/>
      <w:szCs w:val="24"/>
      <w:lang w:bidi="sk-SK" w:eastAsia="sk-SK"/>
    </w:rPr>
  </w:style>
  <w:style w:type="paragraph" w:styleId="Footer">
    <w:name w:val="footer"/>
    <w:basedOn w:val="Normal"/>
    <w:link w:val="PtaChar"/>
    <w:uiPriority w:val="99"/>
    <w:unhideWhenUsed w:val="1"/>
    <w:rsid w:val="004666BD"/>
    <w:pPr>
      <w:tabs>
        <w:tab w:val="center" w:pos="4536"/>
        <w:tab w:val="right" w:pos="9072"/>
      </w:tabs>
    </w:pPr>
  </w:style>
  <w:style w:type="character" w:styleId="PtaChar" w:customStyle="1">
    <w:name w:val="Päta Char"/>
    <w:basedOn w:val="DefaultParagraphFont"/>
    <w:link w:val="Footer"/>
    <w:uiPriority w:val="99"/>
    <w:rsid w:val="004666BD"/>
    <w:rPr>
      <w:rFonts w:ascii="Microsoft Sans Serif" w:cs="Microsoft Sans Serif" w:eastAsia="Microsoft Sans Serif" w:hAnsi="Microsoft Sans Serif"/>
      <w:color w:val="000000"/>
      <w:sz w:val="24"/>
      <w:szCs w:val="24"/>
      <w:lang w:bidi="sk-SK" w:eastAsia="sk-S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q3ZYyKBeN2pwuIBGJ2rz6ceA9w==">AMUW2mW6HZbJQU5tOI7/xMwbRalQP5ZUJErNZJL/mKeg6YEl/cIocmIiWtT+tpMBFaFxF0bJXW1zEKU5XgQHvBRGN4BoD/CJPLfLC65CEk/WTurSU2YvICQUBLIw5mkYzKuROCvRTV/+tmbs6urO7DEYTlI8TMUImD7FNYoUcncyzjSMzxJRODA=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2022-12-05T19:53:00Z</dcterms:created>
  <dc:creator>Eliška Veselá</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a5df7e89bf315ac908bedbc7a57649fd4f0df41d70ad221ce0044ffc7d511774</vt:lpwstr>
  </property>
</Properties>
</file>